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8D" w:rsidRPr="00C26103" w:rsidRDefault="0097578D" w:rsidP="0097578D">
      <w:pPr>
        <w:ind w:left="142"/>
        <w:jc w:val="both"/>
        <w:rPr>
          <w:rFonts w:ascii="Times New Roman" w:eastAsia="Calibri" w:hAnsi="Times New Roman" w:cs="Times New Roman"/>
        </w:rPr>
      </w:pPr>
    </w:p>
    <w:p w:rsidR="0097578D" w:rsidRPr="00C26103" w:rsidRDefault="0097578D" w:rsidP="0097578D">
      <w:pPr>
        <w:spacing w:line="480" w:lineRule="auto"/>
        <w:ind w:left="142"/>
        <w:jc w:val="both"/>
        <w:rPr>
          <w:rFonts w:ascii="Times New Roman" w:eastAsia="Calibri" w:hAnsi="Times New Roman" w:cs="Times New Roman"/>
        </w:rPr>
      </w:pPr>
      <w:bookmarkStart w:id="0" w:name="_GoBack"/>
      <w:r w:rsidRPr="00C26103">
        <w:rPr>
          <w:rFonts w:ascii="Times New Roman" w:eastAsia="Calibri" w:hAnsi="Times New Roman" w:cs="Times New Roman"/>
          <w:sz w:val="24"/>
          <w:szCs w:val="24"/>
        </w:rPr>
        <w:t>Figura III 1- Radiografías antero-posterior y lateral: Fractura Tipo 23A3. 2- Reducción y Osteosíntesis con una placa en T bloqueada de 4 x 6 orificios y consolidación a los 2 meses. 3- Radiografías funcionales a los 5 años de la cirugía</w:t>
      </w:r>
      <w:r w:rsidRPr="00C26103">
        <w:rPr>
          <w:rFonts w:ascii="Times New Roman" w:eastAsia="Calibri" w:hAnsi="Times New Roman" w:cs="Times New Roman"/>
        </w:rPr>
        <w:t>.</w:t>
      </w:r>
    </w:p>
    <w:bookmarkEnd w:id="0"/>
    <w:p w:rsidR="00414E9C" w:rsidRDefault="00414E9C" w:rsidP="0097578D">
      <w:pPr>
        <w:spacing w:line="480" w:lineRule="auto"/>
      </w:pPr>
    </w:p>
    <w:sectPr w:rsidR="00414E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8D"/>
    <w:rsid w:val="00414E9C"/>
    <w:rsid w:val="0097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7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2013-07-22T03:26:00Z</dcterms:created>
  <dcterms:modified xsi:type="dcterms:W3CDTF">2013-07-22T03:27:00Z</dcterms:modified>
</cp:coreProperties>
</file>