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CA" w:rsidRPr="00F45FCA" w:rsidRDefault="00F45FCA" w:rsidP="00F45FCA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FCA">
        <w:rPr>
          <w:rFonts w:ascii="Times New Roman" w:eastAsia="Calibri" w:hAnsi="Times New Roman" w:cs="Times New Roman"/>
          <w:sz w:val="24"/>
          <w:szCs w:val="24"/>
        </w:rPr>
        <w:t>Bibliografía</w:t>
      </w:r>
    </w:p>
    <w:p w:rsidR="00F45FCA" w:rsidRPr="00F45FCA" w:rsidRDefault="00F45FCA" w:rsidP="00F45FCA">
      <w:pPr>
        <w:numPr>
          <w:ilvl w:val="0"/>
          <w:numId w:val="1"/>
        </w:numPr>
        <w:spacing w:line="48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45FCA">
        <w:rPr>
          <w:rFonts w:ascii="Times New Roman" w:eastAsia="Calibri" w:hAnsi="Times New Roman" w:cs="Times New Roman"/>
          <w:sz w:val="24"/>
          <w:szCs w:val="24"/>
        </w:rPr>
        <w:t xml:space="preserve">Allende C, Catá E, Catá JP, Fattor E, Lugones A. Fracturas inestables </w:t>
      </w:r>
      <w:r w:rsidR="00E86D17" w:rsidRPr="00F45FCA">
        <w:rPr>
          <w:rFonts w:ascii="Times New Roman" w:eastAsia="Calibri" w:hAnsi="Times New Roman" w:cs="Times New Roman"/>
          <w:sz w:val="24"/>
          <w:szCs w:val="24"/>
        </w:rPr>
        <w:t>extra articulares</w:t>
      </w:r>
      <w:r w:rsidRPr="00F45FCA">
        <w:rPr>
          <w:rFonts w:ascii="Times New Roman" w:eastAsia="Calibri" w:hAnsi="Times New Roman" w:cs="Times New Roman"/>
          <w:sz w:val="24"/>
          <w:szCs w:val="24"/>
        </w:rPr>
        <w:t xml:space="preserve"> del radio distal. </w:t>
      </w:r>
      <w:proofErr w:type="spellStart"/>
      <w:r w:rsidRPr="00F45FCA">
        <w:rPr>
          <w:rFonts w:ascii="Times New Roman" w:eastAsia="Calibri" w:hAnsi="Times New Roman" w:cs="Times New Roman"/>
          <w:sz w:val="24"/>
          <w:szCs w:val="24"/>
          <w:lang w:val="en-US"/>
        </w:rPr>
        <w:t>Clavijas</w:t>
      </w:r>
      <w:proofErr w:type="spellEnd"/>
      <w:r w:rsidRPr="00F45FC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5FCA">
        <w:rPr>
          <w:rFonts w:ascii="Times New Roman" w:eastAsia="Calibri" w:hAnsi="Times New Roman" w:cs="Times New Roman"/>
          <w:sz w:val="24"/>
          <w:szCs w:val="24"/>
          <w:lang w:val="en-US"/>
        </w:rPr>
        <w:t>percutáneas</w:t>
      </w:r>
      <w:proofErr w:type="spellEnd"/>
      <w:r w:rsidRPr="00F45FC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Kirschner (Kapandji</w:t>
      </w:r>
      <w:r w:rsidR="00E86D17" w:rsidRPr="00E86D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o </w:t>
      </w:r>
      <w:proofErr w:type="spellStart"/>
      <w:r w:rsidR="00E86D17" w:rsidRPr="00E86D17">
        <w:rPr>
          <w:rFonts w:ascii="Times New Roman" w:eastAsia="Calibri" w:hAnsi="Times New Roman" w:cs="Times New Roman"/>
          <w:sz w:val="24"/>
          <w:szCs w:val="24"/>
          <w:lang w:val="en-US"/>
        </w:rPr>
        <w:t>placas</w:t>
      </w:r>
      <w:proofErr w:type="spellEnd"/>
      <w:r w:rsidR="00E86D17" w:rsidRPr="00E86D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6D17" w:rsidRPr="00E86D17">
        <w:rPr>
          <w:rFonts w:ascii="Times New Roman" w:eastAsia="Calibri" w:hAnsi="Times New Roman" w:cs="Times New Roman"/>
          <w:sz w:val="24"/>
          <w:szCs w:val="24"/>
          <w:lang w:val="en-US"/>
        </w:rPr>
        <w:t>bloqueadas</w:t>
      </w:r>
      <w:proofErr w:type="spellEnd"/>
      <w:r w:rsidR="00E86D17" w:rsidRPr="00E86D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6D17" w:rsidRPr="00E86D17">
        <w:rPr>
          <w:rFonts w:ascii="Times New Roman" w:eastAsia="Calibri" w:hAnsi="Times New Roman" w:cs="Times New Roman"/>
          <w:sz w:val="24"/>
          <w:szCs w:val="24"/>
          <w:lang w:val="en-US"/>
        </w:rPr>
        <w:t>volares</w:t>
      </w:r>
      <w:proofErr w:type="spellEnd"/>
      <w:r w:rsidR="00E86D17" w:rsidRPr="00E86D1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F45FC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45FC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Rev </w:t>
      </w:r>
      <w:proofErr w:type="spellStart"/>
      <w:r w:rsidRPr="00F45FCA">
        <w:rPr>
          <w:rFonts w:ascii="Times New Roman" w:eastAsia="Calibri" w:hAnsi="Times New Roman" w:cs="Times New Roman"/>
          <w:i/>
          <w:sz w:val="24"/>
          <w:szCs w:val="24"/>
          <w:lang w:val="en-US"/>
        </w:rPr>
        <w:t>Asoc</w:t>
      </w:r>
      <w:proofErr w:type="spellEnd"/>
      <w:r w:rsidRPr="00F45FC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Argent </w:t>
      </w:r>
      <w:proofErr w:type="spellStart"/>
      <w:r w:rsidRPr="00F45FCA">
        <w:rPr>
          <w:rFonts w:ascii="Times New Roman" w:eastAsia="Calibri" w:hAnsi="Times New Roman" w:cs="Times New Roman"/>
          <w:i/>
          <w:sz w:val="24"/>
          <w:szCs w:val="24"/>
          <w:lang w:val="en-US"/>
        </w:rPr>
        <w:t>Ortop</w:t>
      </w:r>
      <w:proofErr w:type="spellEnd"/>
      <w:r w:rsidRPr="00F45FC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45FCA">
        <w:rPr>
          <w:rFonts w:ascii="Times New Roman" w:eastAsia="Calibri" w:hAnsi="Times New Roman" w:cs="Times New Roman"/>
          <w:i/>
          <w:sz w:val="24"/>
          <w:szCs w:val="24"/>
          <w:lang w:val="en-US"/>
        </w:rPr>
        <w:t>Traumatol</w:t>
      </w:r>
      <w:proofErr w:type="spellEnd"/>
      <w:r w:rsidRPr="00F45FCA">
        <w:rPr>
          <w:rFonts w:ascii="Times New Roman" w:eastAsia="Calibri" w:hAnsi="Times New Roman" w:cs="Times New Roman"/>
          <w:i/>
          <w:sz w:val="24"/>
          <w:szCs w:val="24"/>
          <w:lang w:val="en-US"/>
        </w:rPr>
        <w:t>.</w:t>
      </w:r>
      <w:r w:rsidRPr="00F45FC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2011; 76: 5 -13.</w:t>
      </w:r>
    </w:p>
    <w:p w:rsidR="00F45FCA" w:rsidRPr="00F45FCA" w:rsidRDefault="00F45FCA" w:rsidP="00F45FCA">
      <w:pPr>
        <w:numPr>
          <w:ilvl w:val="0"/>
          <w:numId w:val="1"/>
        </w:numPr>
        <w:spacing w:line="48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5FCA">
        <w:rPr>
          <w:rFonts w:ascii="Times New Roman" w:eastAsia="Calibri" w:hAnsi="Times New Roman" w:cs="Times New Roman"/>
          <w:sz w:val="24"/>
          <w:szCs w:val="24"/>
          <w:lang w:val="en-US"/>
        </w:rPr>
        <w:t>Matschke</w:t>
      </w:r>
      <w:proofErr w:type="spellEnd"/>
      <w:r w:rsidRPr="00F45FC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S, </w:t>
      </w:r>
      <w:proofErr w:type="spellStart"/>
      <w:r w:rsidRPr="00F45FCA">
        <w:rPr>
          <w:rFonts w:ascii="Times New Roman" w:eastAsia="Calibri" w:hAnsi="Times New Roman" w:cs="Times New Roman"/>
          <w:sz w:val="24"/>
          <w:szCs w:val="24"/>
          <w:lang w:val="en-US"/>
        </w:rPr>
        <w:t>Marent</w:t>
      </w:r>
      <w:proofErr w:type="spellEnd"/>
      <w:r w:rsidRPr="00F45FCA">
        <w:rPr>
          <w:rFonts w:ascii="Times New Roman" w:eastAsia="Calibri" w:hAnsi="Times New Roman" w:cs="Times New Roman"/>
          <w:sz w:val="24"/>
          <w:szCs w:val="24"/>
          <w:lang w:val="en-US"/>
        </w:rPr>
        <w:t>-Huber M, Au</w:t>
      </w:r>
      <w:bookmarkStart w:id="0" w:name="_GoBack"/>
      <w:bookmarkEnd w:id="0"/>
      <w:r w:rsidRPr="00F45FCA">
        <w:rPr>
          <w:rFonts w:ascii="Times New Roman" w:eastAsia="Calibri" w:hAnsi="Times New Roman" w:cs="Times New Roman"/>
          <w:sz w:val="24"/>
          <w:szCs w:val="24"/>
          <w:lang w:val="en-US"/>
        </w:rPr>
        <w:t>digé L, Wentzensen A; LCP Study Group. The surgical treatment of unstable distal radius fractures by angle stable implants: a multicenter prospective study</w:t>
      </w:r>
      <w:r w:rsidRPr="00F45FCA">
        <w:rPr>
          <w:rFonts w:ascii="Times New Roman" w:eastAsia="Calibri" w:hAnsi="Times New Roman" w:cs="Times New Roman"/>
          <w:i/>
          <w:sz w:val="24"/>
          <w:szCs w:val="24"/>
          <w:lang w:val="en-US"/>
        </w:rPr>
        <w:t>. J Orthop Trauma</w:t>
      </w:r>
      <w:r w:rsidRPr="00F45FCA">
        <w:rPr>
          <w:rFonts w:ascii="Times New Roman" w:eastAsia="Calibri" w:hAnsi="Times New Roman" w:cs="Times New Roman"/>
          <w:sz w:val="24"/>
          <w:szCs w:val="24"/>
          <w:lang w:val="en-US"/>
        </w:rPr>
        <w:t>. 2011 May; 25(5):312-7.</w:t>
      </w:r>
    </w:p>
    <w:p w:rsidR="00F45FCA" w:rsidRPr="00F45FCA" w:rsidRDefault="00F45FCA" w:rsidP="00F45FCA">
      <w:pPr>
        <w:numPr>
          <w:ilvl w:val="0"/>
          <w:numId w:val="1"/>
        </w:numPr>
        <w:spacing w:line="48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45FC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Chen N, Jupiter J. Management of distal radial fractures. </w:t>
      </w:r>
      <w:r w:rsidRPr="00F45FCA">
        <w:rPr>
          <w:rFonts w:ascii="Times New Roman" w:eastAsia="Calibri" w:hAnsi="Times New Roman" w:cs="Times New Roman"/>
          <w:i/>
          <w:sz w:val="24"/>
          <w:szCs w:val="24"/>
          <w:lang w:val="en-US"/>
        </w:rPr>
        <w:t>J Bone Joint Surg Am</w:t>
      </w:r>
      <w:r w:rsidRPr="00F45FCA">
        <w:rPr>
          <w:rFonts w:ascii="Times New Roman" w:eastAsia="Calibri" w:hAnsi="Times New Roman" w:cs="Times New Roman"/>
          <w:sz w:val="24"/>
          <w:szCs w:val="24"/>
          <w:lang w:val="en-US"/>
        </w:rPr>
        <w:t>. 2007; 89: 2051-62.</w:t>
      </w:r>
    </w:p>
    <w:p w:rsidR="00F45FCA" w:rsidRPr="00F45FCA" w:rsidRDefault="00F45FCA" w:rsidP="00F45FCA">
      <w:pPr>
        <w:numPr>
          <w:ilvl w:val="0"/>
          <w:numId w:val="1"/>
        </w:numPr>
        <w:spacing w:line="48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45FCA">
        <w:rPr>
          <w:rFonts w:ascii="Times New Roman" w:eastAsia="Calibri" w:hAnsi="Times New Roman" w:cs="Times New Roman"/>
          <w:sz w:val="24"/>
          <w:szCs w:val="24"/>
          <w:lang w:val="en-US"/>
        </w:rPr>
        <w:t>Heim U, Pfeiffer K.M. Internal fixation of small fractures, 3rd ed. Berlin, Springer, Verlag, 1987.</w:t>
      </w:r>
    </w:p>
    <w:p w:rsidR="00F45FCA" w:rsidRPr="00F45FCA" w:rsidRDefault="00F45FCA" w:rsidP="00F45FCA">
      <w:pPr>
        <w:numPr>
          <w:ilvl w:val="0"/>
          <w:numId w:val="1"/>
        </w:numPr>
        <w:spacing w:line="48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45FC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Imatani J, Noda T, Morito Y, Sato T, Hashizume H, Inoue H. Minimally invasive plate osteosynthesis for comminuted fractures of the metaphysis of the radius. </w:t>
      </w:r>
      <w:r w:rsidRPr="00F45FCA">
        <w:rPr>
          <w:rFonts w:ascii="Times New Roman" w:eastAsia="Calibri" w:hAnsi="Times New Roman" w:cs="Times New Roman"/>
          <w:i/>
          <w:sz w:val="24"/>
          <w:szCs w:val="24"/>
          <w:lang w:val="en-US"/>
        </w:rPr>
        <w:t>J Hand Surg Br.</w:t>
      </w:r>
      <w:r w:rsidRPr="00F45FC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2005 May; 30(2):220-5.</w:t>
      </w:r>
    </w:p>
    <w:p w:rsidR="00F45FCA" w:rsidRPr="00F45FCA" w:rsidRDefault="00F45FCA" w:rsidP="00F45FCA">
      <w:pPr>
        <w:numPr>
          <w:ilvl w:val="0"/>
          <w:numId w:val="1"/>
        </w:numPr>
        <w:spacing w:line="48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45FC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Krettek C, Schandelmaier P, Miclau T, Tscherne H: Minimally invasive percutaneous plate osteosynthesis (MIPPO) using the DCS in proximal and distal femoral fractures. </w:t>
      </w:r>
      <w:r w:rsidRPr="00F45FCA">
        <w:rPr>
          <w:rFonts w:ascii="Times New Roman" w:eastAsia="Calibri" w:hAnsi="Times New Roman" w:cs="Times New Roman"/>
          <w:i/>
          <w:sz w:val="24"/>
          <w:szCs w:val="24"/>
          <w:lang w:val="en-US"/>
        </w:rPr>
        <w:t>Injury</w:t>
      </w:r>
      <w:r w:rsidRPr="00F45FC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1997; 28(suppl. 1): S-A20–S-A30.</w:t>
      </w:r>
    </w:p>
    <w:p w:rsidR="00F45FCA" w:rsidRPr="00F45FCA" w:rsidRDefault="00F45FCA" w:rsidP="00F45FCA">
      <w:pPr>
        <w:numPr>
          <w:ilvl w:val="0"/>
          <w:numId w:val="1"/>
        </w:numPr>
        <w:spacing w:line="48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45FC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Krettek C, Müller M, Miclau T: Evolution of minimally invasive plate osteosynthesis (MIPO) in the femur. </w:t>
      </w:r>
      <w:r w:rsidRPr="00F45FCA">
        <w:rPr>
          <w:rFonts w:ascii="Times New Roman" w:eastAsia="Calibri" w:hAnsi="Times New Roman" w:cs="Times New Roman"/>
          <w:i/>
          <w:sz w:val="24"/>
          <w:szCs w:val="24"/>
          <w:lang w:val="en-US"/>
        </w:rPr>
        <w:t>Injury.</w:t>
      </w:r>
      <w:r w:rsidRPr="00F45FC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2001; 32(</w:t>
      </w:r>
      <w:r w:rsidR="00E86D17" w:rsidRPr="00F45FCA">
        <w:rPr>
          <w:rFonts w:ascii="Times New Roman" w:eastAsia="Calibri" w:hAnsi="Times New Roman" w:cs="Times New Roman"/>
          <w:sz w:val="24"/>
          <w:szCs w:val="24"/>
          <w:lang w:val="en-US"/>
        </w:rPr>
        <w:t>Suppl</w:t>
      </w:r>
      <w:r w:rsidRPr="00F45FC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3): SC14-SC23.</w:t>
      </w:r>
    </w:p>
    <w:p w:rsidR="00F45FCA" w:rsidRPr="00F45FCA" w:rsidRDefault="00F45FCA" w:rsidP="00F45FCA">
      <w:pPr>
        <w:numPr>
          <w:ilvl w:val="0"/>
          <w:numId w:val="1"/>
        </w:numPr>
        <w:spacing w:line="48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45FC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Collinge CA, Sanders RW. Percutaneous plating in the lower extremity. </w:t>
      </w:r>
      <w:r w:rsidRPr="00F45FCA">
        <w:rPr>
          <w:rFonts w:ascii="Times New Roman" w:eastAsia="Calibri" w:hAnsi="Times New Roman" w:cs="Times New Roman"/>
          <w:i/>
          <w:sz w:val="24"/>
          <w:szCs w:val="24"/>
          <w:lang w:val="en-US"/>
        </w:rPr>
        <w:t>J Am Acad Orthop Surg</w:t>
      </w:r>
      <w:r w:rsidRPr="00F45FCA">
        <w:rPr>
          <w:rFonts w:ascii="Times New Roman" w:eastAsia="Calibri" w:hAnsi="Times New Roman" w:cs="Times New Roman"/>
          <w:sz w:val="24"/>
          <w:szCs w:val="24"/>
          <w:lang w:val="en-US"/>
        </w:rPr>
        <w:t>. 2000 Jul-Aug; 8(4):211-6.</w:t>
      </w:r>
    </w:p>
    <w:p w:rsidR="00F45FCA" w:rsidRPr="00F45FCA" w:rsidRDefault="00F45FCA" w:rsidP="00F45FCA">
      <w:pPr>
        <w:numPr>
          <w:ilvl w:val="0"/>
          <w:numId w:val="1"/>
        </w:numPr>
        <w:spacing w:line="48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45FCA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Perren SM: Evolution of the internal fixation of long bone fractures: The scientific basis of biological internal fixation. Choosing a new balance between stability and biology. </w:t>
      </w:r>
      <w:r w:rsidRPr="00F45FCA">
        <w:rPr>
          <w:rFonts w:ascii="Times New Roman" w:eastAsia="Calibri" w:hAnsi="Times New Roman" w:cs="Times New Roman"/>
          <w:i/>
          <w:sz w:val="24"/>
          <w:szCs w:val="24"/>
          <w:lang w:val="en-US"/>
        </w:rPr>
        <w:t>J Bone Joint Surg Br</w:t>
      </w:r>
      <w:r w:rsidRPr="00F45FCA">
        <w:rPr>
          <w:rFonts w:ascii="Times New Roman" w:eastAsia="Calibri" w:hAnsi="Times New Roman" w:cs="Times New Roman"/>
          <w:sz w:val="24"/>
          <w:szCs w:val="24"/>
          <w:lang w:val="en-US"/>
        </w:rPr>
        <w:t>. 2002; 84:1093-1110.</w:t>
      </w:r>
    </w:p>
    <w:p w:rsidR="00F45FCA" w:rsidRPr="00F45FCA" w:rsidRDefault="00F45FCA" w:rsidP="00F45FCA">
      <w:pPr>
        <w:numPr>
          <w:ilvl w:val="0"/>
          <w:numId w:val="1"/>
        </w:numPr>
        <w:spacing w:line="48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45FCA">
        <w:rPr>
          <w:rFonts w:ascii="Times New Roman" w:eastAsia="Calibri" w:hAnsi="Times New Roman" w:cs="Times New Roman"/>
          <w:sz w:val="24"/>
          <w:szCs w:val="24"/>
          <w:lang w:val="en-US"/>
        </w:rPr>
        <w:t>Ji F, Tong D, Tang H, et al. Minimally invasive percutaneous plate osteosynthesis (MIPPO) technique applied in the treatment of humeral shaft distal fractures through a lateral approach</w:t>
      </w:r>
      <w:r w:rsidRPr="00F45FCA">
        <w:rPr>
          <w:rFonts w:ascii="Times New Roman" w:eastAsia="Calibri" w:hAnsi="Times New Roman" w:cs="Times New Roman"/>
          <w:i/>
          <w:sz w:val="24"/>
          <w:szCs w:val="24"/>
          <w:lang w:val="en-US"/>
        </w:rPr>
        <w:t>. Int Orthop</w:t>
      </w:r>
      <w:r w:rsidRPr="00F45FCA">
        <w:rPr>
          <w:rFonts w:ascii="Times New Roman" w:eastAsia="Calibri" w:hAnsi="Times New Roman" w:cs="Times New Roman"/>
          <w:sz w:val="24"/>
          <w:szCs w:val="24"/>
          <w:lang w:val="en-US"/>
        </w:rPr>
        <w:t>. 2009; 33: 543–547.</w:t>
      </w:r>
    </w:p>
    <w:p w:rsidR="00F45FCA" w:rsidRPr="00F45FCA" w:rsidRDefault="00F45FCA" w:rsidP="00F45FCA">
      <w:pPr>
        <w:numPr>
          <w:ilvl w:val="0"/>
          <w:numId w:val="1"/>
        </w:numPr>
        <w:spacing w:line="48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45FC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Rancan M, Dietrich M, Lamdark T, Can U, Platz A. Minimal invasive long PHILOS®-plate osteosynthesis in metadiaphyseal fractures of the proximal humerus. </w:t>
      </w:r>
      <w:r w:rsidRPr="00F45FCA">
        <w:rPr>
          <w:rFonts w:ascii="Times New Roman" w:eastAsia="Calibri" w:hAnsi="Times New Roman" w:cs="Times New Roman"/>
          <w:i/>
          <w:sz w:val="24"/>
          <w:szCs w:val="24"/>
          <w:lang w:val="en-US"/>
        </w:rPr>
        <w:t>Injury</w:t>
      </w:r>
      <w:r w:rsidRPr="00F45FC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2010 Dec; 41(12):1277-83. </w:t>
      </w:r>
    </w:p>
    <w:p w:rsidR="00F45FCA" w:rsidRPr="00F45FCA" w:rsidRDefault="00F45FCA" w:rsidP="00F45FCA">
      <w:pPr>
        <w:numPr>
          <w:ilvl w:val="0"/>
          <w:numId w:val="1"/>
        </w:numPr>
        <w:spacing w:line="48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45FCA">
        <w:rPr>
          <w:rFonts w:ascii="Times New Roman" w:eastAsia="Calibri" w:hAnsi="Times New Roman" w:cs="Times New Roman"/>
          <w:sz w:val="24"/>
          <w:szCs w:val="24"/>
          <w:lang w:val="en-US"/>
        </w:rPr>
        <w:t>Apivatthakakul T, Patiyasikan S, Luevitoonvechkit S. Danger zone for locking screw placement in minimally invasive plate osteosynthesis (MIPO) of humeral shaft fractures: a cadaveric study</w:t>
      </w:r>
      <w:r w:rsidRPr="00F45FCA">
        <w:rPr>
          <w:rFonts w:ascii="Times New Roman" w:eastAsia="Calibri" w:hAnsi="Times New Roman" w:cs="Times New Roman"/>
          <w:i/>
          <w:sz w:val="24"/>
          <w:szCs w:val="24"/>
          <w:lang w:val="en-US"/>
        </w:rPr>
        <w:t>. Injury</w:t>
      </w:r>
      <w:r w:rsidRPr="00F45FCA">
        <w:rPr>
          <w:rFonts w:ascii="Times New Roman" w:eastAsia="Calibri" w:hAnsi="Times New Roman" w:cs="Times New Roman"/>
          <w:sz w:val="24"/>
          <w:szCs w:val="24"/>
          <w:lang w:val="en-US"/>
        </w:rPr>
        <w:t>. 2010; 41:169–172.</w:t>
      </w:r>
    </w:p>
    <w:p w:rsidR="00F45FCA" w:rsidRPr="00F45FCA" w:rsidRDefault="00F45FCA" w:rsidP="00F45FCA">
      <w:pPr>
        <w:numPr>
          <w:ilvl w:val="0"/>
          <w:numId w:val="1"/>
        </w:numPr>
        <w:spacing w:line="48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45FC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Tan JC, Kagda FH, Murphy D, Thambiah JS, Khong KS. Minimally invasive helical plating for shaft of humerus fractures: technique and outcome. </w:t>
      </w:r>
      <w:r w:rsidRPr="00F45FCA">
        <w:rPr>
          <w:rFonts w:ascii="Times New Roman" w:eastAsia="Calibri" w:hAnsi="Times New Roman" w:cs="Times New Roman"/>
          <w:i/>
          <w:sz w:val="24"/>
          <w:szCs w:val="24"/>
          <w:lang w:val="en-US"/>
        </w:rPr>
        <w:t>Open Orthop J</w:t>
      </w:r>
      <w:r w:rsidRPr="00F45FCA">
        <w:rPr>
          <w:rFonts w:ascii="Times New Roman" w:eastAsia="Calibri" w:hAnsi="Times New Roman" w:cs="Times New Roman"/>
          <w:sz w:val="24"/>
          <w:szCs w:val="24"/>
          <w:lang w:val="en-US"/>
        </w:rPr>
        <w:t>. 2012; 6:184-8.</w:t>
      </w:r>
    </w:p>
    <w:p w:rsidR="00F45FCA" w:rsidRPr="00F45FCA" w:rsidRDefault="00F45FCA" w:rsidP="00F45FCA">
      <w:pPr>
        <w:numPr>
          <w:ilvl w:val="0"/>
          <w:numId w:val="1"/>
        </w:numPr>
        <w:spacing w:line="48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45FC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Shin SJ, Sohn HS, Do NH. Minimally invasive plate osteosynthesis of humeral shaft fractures: a technique to aid fracture reduction and minimize complications. </w:t>
      </w:r>
      <w:r w:rsidRPr="00F45FCA">
        <w:rPr>
          <w:rFonts w:ascii="Times New Roman" w:eastAsia="Calibri" w:hAnsi="Times New Roman" w:cs="Times New Roman"/>
          <w:i/>
          <w:sz w:val="24"/>
          <w:szCs w:val="24"/>
          <w:lang w:val="en-US"/>
        </w:rPr>
        <w:t>J Orthop Trauma</w:t>
      </w:r>
      <w:r w:rsidRPr="00F45FCA">
        <w:rPr>
          <w:rFonts w:ascii="Times New Roman" w:eastAsia="Calibri" w:hAnsi="Times New Roman" w:cs="Times New Roman"/>
          <w:sz w:val="24"/>
          <w:szCs w:val="24"/>
          <w:lang w:val="en-US"/>
        </w:rPr>
        <w:t>. 2012 Oct; 26(10):585-9.</w:t>
      </w:r>
    </w:p>
    <w:p w:rsidR="00F45FCA" w:rsidRPr="00F45FCA" w:rsidRDefault="00F45FCA" w:rsidP="00F45FCA">
      <w:pPr>
        <w:numPr>
          <w:ilvl w:val="0"/>
          <w:numId w:val="1"/>
        </w:numPr>
        <w:spacing w:line="48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45FCA">
        <w:rPr>
          <w:rFonts w:ascii="Times New Roman" w:eastAsia="Calibri" w:hAnsi="Times New Roman" w:cs="Times New Roman"/>
          <w:sz w:val="24"/>
          <w:szCs w:val="24"/>
          <w:lang w:val="en-US"/>
        </w:rPr>
        <w:t>Sen MK, Strauss N, Harvey EJ. Minimally invasive plate osteosynthesis of distal radius fractures using a pronator sparing approach. Tech Hand Up Extrem Surg. 2008 Mar; 12(1):2-6.</w:t>
      </w:r>
    </w:p>
    <w:p w:rsidR="00F45FCA" w:rsidRPr="00F45FCA" w:rsidRDefault="00F45FCA" w:rsidP="00F45FCA">
      <w:pPr>
        <w:numPr>
          <w:ilvl w:val="0"/>
          <w:numId w:val="1"/>
        </w:numPr>
        <w:spacing w:line="48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45FCA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Zenke Y, Sakai A, Oshige T, Moritani S, Fuse Y, Maehara T, Nakamura T. Clinical results of volar locking plate for distal radius fractures: conventional versus minimally invasive plate osteosynthesis. </w:t>
      </w:r>
      <w:r w:rsidRPr="00F45FCA">
        <w:rPr>
          <w:rFonts w:ascii="Times New Roman" w:eastAsia="Calibri" w:hAnsi="Times New Roman" w:cs="Times New Roman"/>
          <w:i/>
          <w:sz w:val="24"/>
          <w:szCs w:val="24"/>
          <w:lang w:val="en-US"/>
        </w:rPr>
        <w:t>J Orthop Trauma</w:t>
      </w:r>
      <w:r w:rsidRPr="00F45FCA">
        <w:rPr>
          <w:rFonts w:ascii="Times New Roman" w:eastAsia="Calibri" w:hAnsi="Times New Roman" w:cs="Times New Roman"/>
          <w:sz w:val="24"/>
          <w:szCs w:val="24"/>
          <w:lang w:val="en-US"/>
        </w:rPr>
        <w:t>. 2011 Jul; 25(7):425-31.</w:t>
      </w:r>
    </w:p>
    <w:p w:rsidR="00F45FCA" w:rsidRPr="00F45FCA" w:rsidRDefault="00F45FCA" w:rsidP="00F45FCA">
      <w:pPr>
        <w:numPr>
          <w:ilvl w:val="0"/>
          <w:numId w:val="1"/>
        </w:numPr>
        <w:spacing w:line="48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FCA">
        <w:rPr>
          <w:rFonts w:ascii="Times New Roman" w:eastAsia="Calibri" w:hAnsi="Times New Roman" w:cs="Times New Roman"/>
          <w:sz w:val="24"/>
          <w:szCs w:val="24"/>
        </w:rPr>
        <w:t xml:space="preserve">Allende C, Marangoni L, Gastaudo M, Pioli I, Gastaudo M, Paganini F. Placas volares de ángulo fijo en pacientes adultos con fracturas inestables del radio distal. </w:t>
      </w:r>
      <w:r w:rsidRPr="00F45FCA">
        <w:rPr>
          <w:rFonts w:ascii="Times New Roman" w:eastAsia="Calibri" w:hAnsi="Times New Roman" w:cs="Times New Roman"/>
          <w:i/>
          <w:sz w:val="24"/>
          <w:szCs w:val="24"/>
          <w:lang w:val="en-US"/>
        </w:rPr>
        <w:t>Rev Asoc Argent Ortop Traumatol</w:t>
      </w:r>
      <w:r w:rsidRPr="00F45FCA">
        <w:rPr>
          <w:rFonts w:ascii="Times New Roman" w:eastAsia="Calibri" w:hAnsi="Times New Roman" w:cs="Times New Roman"/>
          <w:sz w:val="24"/>
          <w:szCs w:val="24"/>
          <w:lang w:val="en-US"/>
        </w:rPr>
        <w:t>. 2007; 72: 110-7.</w:t>
      </w:r>
    </w:p>
    <w:p w:rsidR="00F45FCA" w:rsidRPr="00F45FCA" w:rsidRDefault="00F45FCA" w:rsidP="00F45FCA">
      <w:pPr>
        <w:numPr>
          <w:ilvl w:val="0"/>
          <w:numId w:val="1"/>
        </w:numPr>
        <w:spacing w:line="48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45FC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Kennedy CA, Beaton DE, Solway S, McConnell S, Bombardier C. </w:t>
      </w:r>
      <w:r w:rsidRPr="00F45FCA">
        <w:rPr>
          <w:rFonts w:ascii="Times New Roman" w:eastAsia="Calibri" w:hAnsi="Times New Roman" w:cs="Times New Roman"/>
          <w:i/>
          <w:sz w:val="24"/>
          <w:szCs w:val="24"/>
          <w:lang w:val="en-US"/>
        </w:rPr>
        <w:t>Disabilities of the Arm, Shoulder and Hand (DASH). The DASH and QuickDASH Outcome Measure User’s Manual</w:t>
      </w:r>
      <w:r w:rsidRPr="00F45FCA">
        <w:rPr>
          <w:rFonts w:ascii="Times New Roman" w:eastAsia="Calibri" w:hAnsi="Times New Roman" w:cs="Times New Roman"/>
          <w:sz w:val="24"/>
          <w:szCs w:val="24"/>
          <w:lang w:val="en-US"/>
        </w:rPr>
        <w:t>, Third Edition. Toronto, Ontario: Institute for Work &amp; Health, 2011.</w:t>
      </w:r>
    </w:p>
    <w:p w:rsidR="00F45FCA" w:rsidRPr="00F45FCA" w:rsidRDefault="00F45FCA" w:rsidP="00F45FCA">
      <w:pPr>
        <w:numPr>
          <w:ilvl w:val="0"/>
          <w:numId w:val="1"/>
        </w:numPr>
        <w:spacing w:line="48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45FCA">
        <w:rPr>
          <w:rFonts w:ascii="Times New Roman" w:eastAsia="Calibri" w:hAnsi="Times New Roman" w:cs="Times New Roman"/>
          <w:sz w:val="24"/>
          <w:szCs w:val="24"/>
          <w:lang w:val="en-US"/>
        </w:rPr>
        <w:t>Downie Wn, et al. Studies with pain rating scales. Ann Rheum Dis 1979; 37: 378-81.</w:t>
      </w:r>
    </w:p>
    <w:p w:rsidR="00F45FCA" w:rsidRPr="00F45FCA" w:rsidRDefault="00F45FCA" w:rsidP="00F45FCA">
      <w:pPr>
        <w:numPr>
          <w:ilvl w:val="0"/>
          <w:numId w:val="1"/>
        </w:numPr>
        <w:spacing w:line="48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45FC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Farouk O, Krettek C, Miclau T, Schandelmaier P, Guy P, Tscherne H: Minimally invasive plate osteosynthesis: Does percutaneous plating disrupt femoral blood supply less than the traditional technique? </w:t>
      </w:r>
      <w:r w:rsidRPr="00F45FCA">
        <w:rPr>
          <w:rFonts w:ascii="Times New Roman" w:eastAsia="Calibri" w:hAnsi="Times New Roman" w:cs="Times New Roman"/>
          <w:i/>
          <w:sz w:val="24"/>
          <w:szCs w:val="24"/>
          <w:lang w:val="en-US"/>
        </w:rPr>
        <w:t>J Orthop Trauma</w:t>
      </w:r>
      <w:r w:rsidRPr="00F45FCA">
        <w:rPr>
          <w:rFonts w:ascii="Times New Roman" w:eastAsia="Calibri" w:hAnsi="Times New Roman" w:cs="Times New Roman"/>
          <w:sz w:val="24"/>
          <w:szCs w:val="24"/>
          <w:lang w:val="en-US"/>
        </w:rPr>
        <w:t>. 1999; 13:401-406.</w:t>
      </w:r>
    </w:p>
    <w:p w:rsidR="00F45FCA" w:rsidRPr="00F45FCA" w:rsidRDefault="00F45FCA" w:rsidP="00F45FCA">
      <w:pPr>
        <w:numPr>
          <w:ilvl w:val="0"/>
          <w:numId w:val="1"/>
        </w:numPr>
        <w:spacing w:line="48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45FCA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Keast-Butler O, Schemitsch EH. </w:t>
      </w:r>
      <w:r w:rsidRPr="00F45FCA">
        <w:rPr>
          <w:rFonts w:ascii="Times New Roman" w:eastAsia="Calibri" w:hAnsi="Times New Roman" w:cs="Times New Roman"/>
          <w:sz w:val="24"/>
          <w:szCs w:val="24"/>
          <w:lang w:val="en-US"/>
        </w:rPr>
        <w:t>Biology versus mechanics in the treatment of distal radial fractures</w:t>
      </w:r>
      <w:r w:rsidRPr="00F45FCA">
        <w:rPr>
          <w:rFonts w:ascii="Times New Roman" w:eastAsia="Calibri" w:hAnsi="Times New Roman" w:cs="Times New Roman"/>
          <w:i/>
          <w:sz w:val="24"/>
          <w:szCs w:val="24"/>
          <w:lang w:val="en-US"/>
        </w:rPr>
        <w:t>. J Orthop Trauma</w:t>
      </w:r>
      <w:r w:rsidRPr="00F45FCA">
        <w:rPr>
          <w:rFonts w:ascii="Times New Roman" w:eastAsia="Calibri" w:hAnsi="Times New Roman" w:cs="Times New Roman"/>
          <w:sz w:val="24"/>
          <w:szCs w:val="24"/>
          <w:lang w:val="en-US"/>
        </w:rPr>
        <w:t>. 2008 Sep</w:t>
      </w:r>
      <w:r w:rsidR="00E86D17" w:rsidRPr="00F45FCA">
        <w:rPr>
          <w:rFonts w:ascii="Times New Roman" w:eastAsia="Calibri" w:hAnsi="Times New Roman" w:cs="Times New Roman"/>
          <w:sz w:val="24"/>
          <w:szCs w:val="24"/>
          <w:lang w:val="en-US"/>
        </w:rPr>
        <w:t>; 22</w:t>
      </w:r>
      <w:r w:rsidRPr="00F45FCA">
        <w:rPr>
          <w:rFonts w:ascii="Times New Roman" w:eastAsia="Calibri" w:hAnsi="Times New Roman" w:cs="Times New Roman"/>
          <w:sz w:val="24"/>
          <w:szCs w:val="24"/>
          <w:lang w:val="en-US"/>
        </w:rPr>
        <w:t>(8 Suppl):S91-5.</w:t>
      </w:r>
    </w:p>
    <w:p w:rsidR="00F45FCA" w:rsidRPr="00F45FCA" w:rsidRDefault="00F45FCA" w:rsidP="00F45FCA">
      <w:pPr>
        <w:numPr>
          <w:ilvl w:val="0"/>
          <w:numId w:val="1"/>
        </w:numPr>
        <w:spacing w:line="48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45FC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Rampoldi M, Palombi D, Tagliente D. Distal radius fractures with diaphyseal involvement: fixation with fixed angle volar plate. </w:t>
      </w:r>
      <w:r w:rsidRPr="00F45FCA">
        <w:rPr>
          <w:rFonts w:ascii="Times New Roman" w:eastAsia="Calibri" w:hAnsi="Times New Roman" w:cs="Times New Roman"/>
          <w:i/>
          <w:sz w:val="24"/>
          <w:szCs w:val="24"/>
          <w:lang w:val="en-US"/>
        </w:rPr>
        <w:t>J Orthop Traumatol</w:t>
      </w:r>
      <w:r w:rsidRPr="00F45FCA">
        <w:rPr>
          <w:rFonts w:ascii="Times New Roman" w:eastAsia="Calibri" w:hAnsi="Times New Roman" w:cs="Times New Roman"/>
          <w:sz w:val="24"/>
          <w:szCs w:val="24"/>
          <w:lang w:val="en-US"/>
        </w:rPr>
        <w:t>. 2011 Sep; 12 (3):137-43.</w:t>
      </w:r>
    </w:p>
    <w:p w:rsidR="00414E9C" w:rsidRPr="00F45FCA" w:rsidRDefault="00F45FCA" w:rsidP="00F45FCA">
      <w:pPr>
        <w:numPr>
          <w:ilvl w:val="0"/>
          <w:numId w:val="1"/>
        </w:numPr>
        <w:spacing w:line="48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45FCA">
        <w:rPr>
          <w:rFonts w:ascii="Times New Roman" w:eastAsia="Calibri" w:hAnsi="Times New Roman" w:cs="Times New Roman"/>
          <w:sz w:val="24"/>
          <w:szCs w:val="24"/>
          <w:lang w:val="en-US"/>
        </w:rPr>
        <w:t>Lee SK, Seo DW, Kim KJ, Yang DS, Choy WS. Volar long locking compression plate fixation for distal radius fractures with metaphyseal and diaphyseal extension</w:t>
      </w:r>
      <w:r w:rsidRPr="00F45FCA">
        <w:rPr>
          <w:rFonts w:ascii="Times New Roman" w:eastAsia="Calibri" w:hAnsi="Times New Roman" w:cs="Times New Roman"/>
          <w:i/>
          <w:sz w:val="24"/>
          <w:szCs w:val="24"/>
          <w:lang w:val="en-US"/>
        </w:rPr>
        <w:t>. Eur J Orthop Surg Traumatol</w:t>
      </w:r>
      <w:r w:rsidRPr="00F45FCA">
        <w:rPr>
          <w:rFonts w:ascii="Times New Roman" w:eastAsia="Calibri" w:hAnsi="Times New Roman" w:cs="Times New Roman"/>
          <w:sz w:val="24"/>
          <w:szCs w:val="24"/>
          <w:lang w:val="en-US"/>
        </w:rPr>
        <w:t>. 2013 May; 23(4):407-15.</w:t>
      </w:r>
    </w:p>
    <w:sectPr w:rsidR="00414E9C" w:rsidRPr="00F45FCA" w:rsidSect="00F45FCA">
      <w:pgSz w:w="11907" w:h="16840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85A15"/>
    <w:multiLevelType w:val="hybridMultilevel"/>
    <w:tmpl w:val="7ECCB9C8"/>
    <w:lvl w:ilvl="0" w:tplc="171E52E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CA"/>
    <w:rsid w:val="00414E9C"/>
    <w:rsid w:val="00E86D17"/>
    <w:rsid w:val="00F4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656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2013-07-22T02:54:00Z</dcterms:created>
  <dcterms:modified xsi:type="dcterms:W3CDTF">2013-07-22T03:46:00Z</dcterms:modified>
</cp:coreProperties>
</file>