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2B" w:rsidRPr="006776BE" w:rsidRDefault="002A6D2B" w:rsidP="002A6D2B">
      <w:pPr>
        <w:spacing w:line="480" w:lineRule="auto"/>
        <w:rPr>
          <w:rFonts w:ascii="Times New Roman" w:hAnsi="Times New Roman" w:cs="Times New Roman"/>
        </w:rPr>
      </w:pPr>
      <w:r w:rsidRPr="006776BE">
        <w:rPr>
          <w:rFonts w:ascii="Times New Roman" w:hAnsi="Times New Roman" w:cs="Times New Roman"/>
        </w:rPr>
        <w:t>Figura 2.  Esquem</w:t>
      </w:r>
      <w:r>
        <w:rPr>
          <w:rFonts w:ascii="Times New Roman" w:hAnsi="Times New Roman" w:cs="Times New Roman"/>
        </w:rPr>
        <w:t>a que muestra las diferentes</w:t>
      </w:r>
      <w:bookmarkStart w:id="0" w:name="_GoBack"/>
      <w:bookmarkEnd w:id="0"/>
      <w:r w:rsidRPr="006776BE">
        <w:rPr>
          <w:rFonts w:ascii="Times New Roman" w:hAnsi="Times New Roman" w:cs="Times New Roman"/>
        </w:rPr>
        <w:t xml:space="preserve"> dimensiones de los implantes utilizados en cada uno de los abordajes para la artrodesis intersomática. AP: Antero-Posterior, ALIF: Anterior Lumbar Interbody Fusion, LLIF: Lateral Lumbar Interbody Fusion, PLIF: Posterior Lumbar Interbody Fusion, TLIF: Transpedicular Lumbar Interbody Fusion.</w:t>
      </w:r>
    </w:p>
    <w:p w:rsidR="00CB5C85" w:rsidRDefault="00CB5C85"/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2B"/>
    <w:rsid w:val="002A6D2B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2017-07-12T17:48:00Z</dcterms:created>
  <dcterms:modified xsi:type="dcterms:W3CDTF">2017-07-12T17:48:00Z</dcterms:modified>
</cp:coreProperties>
</file>