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Bibliografía:</w:t>
      </w:r>
      <w:bookmarkStart w:id="0" w:name="_GoBack"/>
      <w:bookmarkEnd w:id="0"/>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1-Snir N, Park BK, Garofalo G, Marwin SE. Revisión of failed hip resurfacing and large metal no metal total hip arthroplasty using dual mobility components. Orthopedics. 2015;38(6):369-374.</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2-Grammatoupolos G, Pandit H, Kwon YM. Hip resurfacing revised for inflammatory pseudotumour have a poor outcame. J Bone Joint Surg Br. 2009; 91(8):1019-1024.</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3-Browne JA, Bechtold CD, Berry DJ. Failed metal on metal hip arthroplasties. Clin Orthop Relat Res 2010; 468:231</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4-Su EP, Su SL. Surface replacment conversion: results depend upon reason for revision. Bone Joint J. 2013,95 (Suppl):88-91.</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5-Matharu GS, Murray DW, Pandit HG. An update on outcomes following revision surgery for adverse reaction to metal debris. J Bone Joint Surg Br. 2015;.....:1-3.</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6-Combes A, Migaud H, Girard J, Duhamel A, Fessy MH. Low rate of dislocation of dual mobility cups in primary total hip arthroplasty. Clin Orthop Relat Res. 2013; 471(12): 3891-3900.</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7-Guyen O, Pibarot V, Vaz G, Chevillte C, Bejui-Hegues J. Use a dual mobility socket to manage total hip arthroplasty instability. Clin Orthop Relat Res. 2009;467(2):465-472.</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8-National Joint Registry for England and Wales. National Joint registry for England and Wales 8th annual report 2011. Hertforshire, United Kingdom: National Joint Registry for England and Wales; 2011.</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9-Haddad FS, Thakrar RR, Hart AJ. Metal on metal bearings: the evidence so far. J Bone Joint Surg Br. 2011;93-B:572-579.</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10-De Smet KA, Van der Straeten C, Van Orsouw M. Revisions of metal on metal hipn resurfacing: lessons learnedand improcedente outcome. Orthop Clin North Am. 2011; 42:259-269.</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11-Rajpura A, Porter ML, Gambhir AK, Freemont AJ, Board TN. Clinical experience of revisions of metal on metal hip arthroplasty for aseptic lymphocyte dominated vasculitis associated lesions (ALVAL). Hip Int. 2011;21:43-51.</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12-Pritchett JW. Once component revisión of failed hip resurfacing from adverse reaction to metal wear debris. J Arthroplasty. 2014;29:219-224.</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13-Verhelst LA, Van der Bracht H, Vanhegan IS, Van Backlé B, De Schepper J. Revising the well fixed, painful resurfacing using a double mobility head: a new strategy to address metal no metal complications. J Arthroplasty. 2012;27(10):1857-1862.</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14-Plummer DR, Botero HG, Berend KR. Salvage of monoblock metal on metal acetabular components using a dual mobility bearing. J Arthroplasty 2016; 31(4):846-9.</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15-Figueras G, Planell RV, Serra Fernandez R, Biayna JC. Revision of metal on metal hip arthroplasty with well fixed and positioned acetabular component using a dual mobility head and review of literature. The Open Orthopaedics Journal. 2016,10:512-521.</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16-</w:t>
      </w:r>
      <w:r w:rsidRPr="00FB58B0">
        <w:rPr>
          <w:rFonts w:ascii="Times New Roman" w:eastAsia="Times New Roman" w:hAnsi="Times New Roman" w:cs="Times New Roman"/>
          <w:color w:val="222222"/>
          <w:sz w:val="24"/>
          <w:szCs w:val="24"/>
          <w:bdr w:val="none" w:sz="0" w:space="0" w:color="auto" w:frame="1"/>
          <w:lang w:eastAsia="es-AR"/>
        </w:rPr>
        <w:t>Sassoon, A. A., &amp; Barrack, R. L.</w:t>
      </w:r>
      <w:r w:rsidRPr="00FB58B0">
        <w:rPr>
          <w:rFonts w:ascii="Times New Roman" w:eastAsia="Times New Roman" w:hAnsi="Times New Roman" w:cs="Times New Roman"/>
          <w:color w:val="222222"/>
          <w:sz w:val="24"/>
          <w:szCs w:val="24"/>
          <w:lang w:eastAsia="es-AR"/>
        </w:rPr>
        <w:t> </w:t>
      </w:r>
      <w:r w:rsidRPr="00FB58B0">
        <w:rPr>
          <w:rFonts w:ascii="Times New Roman" w:eastAsia="Times New Roman" w:hAnsi="Times New Roman" w:cs="Times New Roman"/>
          <w:color w:val="222222"/>
          <w:sz w:val="24"/>
          <w:szCs w:val="24"/>
          <w:bdr w:val="none" w:sz="0" w:space="0" w:color="auto" w:frame="1"/>
          <w:lang w:eastAsia="es-AR"/>
        </w:rPr>
        <w:t>(2016)</w:t>
      </w:r>
      <w:r w:rsidRPr="00FB58B0">
        <w:rPr>
          <w:rFonts w:ascii="Times New Roman" w:eastAsia="Times New Roman" w:hAnsi="Times New Roman" w:cs="Times New Roman"/>
          <w:color w:val="222222"/>
          <w:sz w:val="24"/>
          <w:szCs w:val="24"/>
          <w:lang w:eastAsia="es-AR"/>
        </w:rPr>
        <w:t>. </w:t>
      </w:r>
      <w:r w:rsidRPr="00FB58B0">
        <w:rPr>
          <w:rFonts w:ascii="Times New Roman" w:eastAsia="Times New Roman" w:hAnsi="Times New Roman" w:cs="Times New Roman"/>
          <w:color w:val="222222"/>
          <w:sz w:val="24"/>
          <w:szCs w:val="24"/>
          <w:bdr w:val="none" w:sz="0" w:space="0" w:color="auto" w:frame="1"/>
          <w:lang w:eastAsia="es-AR"/>
        </w:rPr>
        <w:t>Pseudotumour formation and subsequent resolution in metal-on-metal total hip arthroplasty following revision</w:t>
      </w:r>
      <w:r w:rsidRPr="00FB58B0">
        <w:rPr>
          <w:rFonts w:ascii="Times New Roman" w:eastAsia="Times New Roman" w:hAnsi="Times New Roman" w:cs="Times New Roman"/>
          <w:color w:val="222222"/>
          <w:sz w:val="24"/>
          <w:szCs w:val="24"/>
          <w:lang w:eastAsia="es-AR"/>
        </w:rPr>
        <w:t>. </w:t>
      </w:r>
      <w:r w:rsidRPr="00FB58B0">
        <w:rPr>
          <w:rFonts w:ascii="Times New Roman" w:eastAsia="Times New Roman" w:hAnsi="Times New Roman" w:cs="Times New Roman"/>
          <w:i/>
          <w:iCs/>
          <w:color w:val="222222"/>
          <w:sz w:val="24"/>
          <w:szCs w:val="24"/>
          <w:bdr w:val="none" w:sz="0" w:space="0" w:color="auto" w:frame="1"/>
          <w:lang w:eastAsia="es-AR"/>
        </w:rPr>
        <w:t>Bone Joint J,</w:t>
      </w:r>
      <w:r w:rsidRPr="00FB58B0">
        <w:rPr>
          <w:rFonts w:ascii="Times New Roman" w:eastAsia="Times New Roman" w:hAnsi="Times New Roman" w:cs="Times New Roman"/>
          <w:color w:val="222222"/>
          <w:sz w:val="24"/>
          <w:szCs w:val="24"/>
          <w:lang w:eastAsia="es-AR"/>
        </w:rPr>
        <w:t> </w:t>
      </w:r>
      <w:r w:rsidRPr="00FB58B0">
        <w:rPr>
          <w:rFonts w:ascii="Times New Roman" w:eastAsia="Times New Roman" w:hAnsi="Times New Roman" w:cs="Times New Roman"/>
          <w:color w:val="222222"/>
          <w:sz w:val="24"/>
          <w:szCs w:val="24"/>
          <w:bdr w:val="none" w:sz="0" w:space="0" w:color="auto" w:frame="1"/>
          <w:lang w:eastAsia="es-AR"/>
        </w:rPr>
        <w:t>98-B(6)</w:t>
      </w:r>
      <w:r w:rsidRPr="00FB58B0">
        <w:rPr>
          <w:rFonts w:ascii="Times New Roman" w:eastAsia="Times New Roman" w:hAnsi="Times New Roman" w:cs="Times New Roman"/>
          <w:color w:val="222222"/>
          <w:sz w:val="24"/>
          <w:szCs w:val="24"/>
          <w:lang w:eastAsia="es-AR"/>
        </w:rPr>
        <w:t>, </w:t>
      </w:r>
      <w:r w:rsidRPr="00FB58B0">
        <w:rPr>
          <w:rFonts w:ascii="Times New Roman" w:eastAsia="Times New Roman" w:hAnsi="Times New Roman" w:cs="Times New Roman"/>
          <w:color w:val="222222"/>
          <w:sz w:val="24"/>
          <w:szCs w:val="24"/>
          <w:bdr w:val="none" w:sz="0" w:space="0" w:color="auto" w:frame="1"/>
          <w:lang w:eastAsia="es-AR"/>
        </w:rPr>
        <w:t>736-740</w:t>
      </w:r>
      <w:r w:rsidRPr="00FB58B0">
        <w:rPr>
          <w:rFonts w:ascii="Times New Roman" w:eastAsia="Times New Roman" w:hAnsi="Times New Roman" w:cs="Times New Roman"/>
          <w:color w:val="222222"/>
          <w:sz w:val="24"/>
          <w:szCs w:val="24"/>
          <w:lang w:eastAsia="es-AR"/>
        </w:rPr>
        <w:t>. </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17-Valdez S, Bouxin B. Cotilos con doble movilidad: principios , ventajas y resultados. Rev Asoc Argent Ortop Traumatol. 2009, 74:102-110.</w:t>
      </w: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p>
    <w:p w:rsidR="00FB58B0" w:rsidRPr="00FB58B0" w:rsidRDefault="00FB58B0" w:rsidP="00FB58B0">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FB58B0">
        <w:rPr>
          <w:rFonts w:ascii="Times New Roman" w:eastAsia="Times New Roman" w:hAnsi="Times New Roman" w:cs="Times New Roman"/>
          <w:color w:val="222222"/>
          <w:sz w:val="24"/>
          <w:szCs w:val="24"/>
          <w:lang w:eastAsia="es-AR"/>
        </w:rPr>
        <w:t>18-Hamadouche M, Arnould H, Bouxin B. Is cementless dual mobility socket in primary THA a reasonable option?. Clin Orthop Relat Res. 2012; 470(11):3048-3053</w:t>
      </w:r>
    </w:p>
    <w:p w:rsidR="00BF3423" w:rsidRDefault="00BF3423"/>
    <w:sectPr w:rsidR="00BF3423" w:rsidSect="006A21E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rsids>
    <w:rsidRoot w:val="00FB58B0"/>
    <w:rsid w:val="000402D6"/>
    <w:rsid w:val="006A21ED"/>
    <w:rsid w:val="00AB3EFC"/>
    <w:rsid w:val="00BF3423"/>
    <w:rsid w:val="00D47036"/>
    <w:rsid w:val="00FB58B0"/>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1E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8237134">
      <w:bodyDiv w:val="1"/>
      <w:marLeft w:val="0"/>
      <w:marRight w:val="0"/>
      <w:marTop w:val="0"/>
      <w:marBottom w:val="0"/>
      <w:divBdr>
        <w:top w:val="none" w:sz="0" w:space="0" w:color="auto"/>
        <w:left w:val="none" w:sz="0" w:space="0" w:color="auto"/>
        <w:bottom w:val="none" w:sz="0" w:space="0" w:color="auto"/>
        <w:right w:val="none" w:sz="0" w:space="0" w:color="auto"/>
      </w:divBdr>
      <w:divsChild>
        <w:div w:id="2081099483">
          <w:marLeft w:val="0"/>
          <w:marRight w:val="0"/>
          <w:marTop w:val="0"/>
          <w:marBottom w:val="0"/>
          <w:divBdr>
            <w:top w:val="none" w:sz="0" w:space="0" w:color="auto"/>
            <w:left w:val="none" w:sz="0" w:space="0" w:color="auto"/>
            <w:bottom w:val="none" w:sz="0" w:space="0" w:color="auto"/>
            <w:right w:val="none" w:sz="0" w:space="0" w:color="auto"/>
          </w:divBdr>
        </w:div>
        <w:div w:id="95102063">
          <w:marLeft w:val="0"/>
          <w:marRight w:val="0"/>
          <w:marTop w:val="0"/>
          <w:marBottom w:val="0"/>
          <w:divBdr>
            <w:top w:val="none" w:sz="0" w:space="0" w:color="auto"/>
            <w:left w:val="none" w:sz="0" w:space="0" w:color="auto"/>
            <w:bottom w:val="none" w:sz="0" w:space="0" w:color="auto"/>
            <w:right w:val="none" w:sz="0" w:space="0" w:color="auto"/>
          </w:divBdr>
        </w:div>
        <w:div w:id="1086539480">
          <w:marLeft w:val="0"/>
          <w:marRight w:val="0"/>
          <w:marTop w:val="0"/>
          <w:marBottom w:val="0"/>
          <w:divBdr>
            <w:top w:val="none" w:sz="0" w:space="0" w:color="auto"/>
            <w:left w:val="none" w:sz="0" w:space="0" w:color="auto"/>
            <w:bottom w:val="none" w:sz="0" w:space="0" w:color="auto"/>
            <w:right w:val="none" w:sz="0" w:space="0" w:color="auto"/>
          </w:divBdr>
        </w:div>
        <w:div w:id="1883784102">
          <w:marLeft w:val="0"/>
          <w:marRight w:val="0"/>
          <w:marTop w:val="0"/>
          <w:marBottom w:val="0"/>
          <w:divBdr>
            <w:top w:val="none" w:sz="0" w:space="0" w:color="auto"/>
            <w:left w:val="none" w:sz="0" w:space="0" w:color="auto"/>
            <w:bottom w:val="none" w:sz="0" w:space="0" w:color="auto"/>
            <w:right w:val="none" w:sz="0" w:space="0" w:color="auto"/>
          </w:divBdr>
        </w:div>
        <w:div w:id="1456286621">
          <w:marLeft w:val="0"/>
          <w:marRight w:val="0"/>
          <w:marTop w:val="0"/>
          <w:marBottom w:val="0"/>
          <w:divBdr>
            <w:top w:val="none" w:sz="0" w:space="0" w:color="auto"/>
            <w:left w:val="none" w:sz="0" w:space="0" w:color="auto"/>
            <w:bottom w:val="none" w:sz="0" w:space="0" w:color="auto"/>
            <w:right w:val="none" w:sz="0" w:space="0" w:color="auto"/>
          </w:divBdr>
        </w:div>
        <w:div w:id="935139356">
          <w:marLeft w:val="0"/>
          <w:marRight w:val="0"/>
          <w:marTop w:val="0"/>
          <w:marBottom w:val="0"/>
          <w:divBdr>
            <w:top w:val="none" w:sz="0" w:space="0" w:color="auto"/>
            <w:left w:val="none" w:sz="0" w:space="0" w:color="auto"/>
            <w:bottom w:val="none" w:sz="0" w:space="0" w:color="auto"/>
            <w:right w:val="none" w:sz="0" w:space="0" w:color="auto"/>
          </w:divBdr>
        </w:div>
        <w:div w:id="111554789">
          <w:marLeft w:val="0"/>
          <w:marRight w:val="0"/>
          <w:marTop w:val="0"/>
          <w:marBottom w:val="0"/>
          <w:divBdr>
            <w:top w:val="none" w:sz="0" w:space="0" w:color="auto"/>
            <w:left w:val="none" w:sz="0" w:space="0" w:color="auto"/>
            <w:bottom w:val="none" w:sz="0" w:space="0" w:color="auto"/>
            <w:right w:val="none" w:sz="0" w:space="0" w:color="auto"/>
          </w:divBdr>
        </w:div>
        <w:div w:id="1731153286">
          <w:marLeft w:val="0"/>
          <w:marRight w:val="0"/>
          <w:marTop w:val="0"/>
          <w:marBottom w:val="0"/>
          <w:divBdr>
            <w:top w:val="none" w:sz="0" w:space="0" w:color="auto"/>
            <w:left w:val="none" w:sz="0" w:space="0" w:color="auto"/>
            <w:bottom w:val="none" w:sz="0" w:space="0" w:color="auto"/>
            <w:right w:val="none" w:sz="0" w:space="0" w:color="auto"/>
          </w:divBdr>
        </w:div>
        <w:div w:id="768693777">
          <w:marLeft w:val="0"/>
          <w:marRight w:val="0"/>
          <w:marTop w:val="0"/>
          <w:marBottom w:val="0"/>
          <w:divBdr>
            <w:top w:val="none" w:sz="0" w:space="0" w:color="auto"/>
            <w:left w:val="none" w:sz="0" w:space="0" w:color="auto"/>
            <w:bottom w:val="none" w:sz="0" w:space="0" w:color="auto"/>
            <w:right w:val="none" w:sz="0" w:space="0" w:color="auto"/>
          </w:divBdr>
        </w:div>
        <w:div w:id="1790316030">
          <w:marLeft w:val="0"/>
          <w:marRight w:val="0"/>
          <w:marTop w:val="0"/>
          <w:marBottom w:val="0"/>
          <w:divBdr>
            <w:top w:val="none" w:sz="0" w:space="0" w:color="auto"/>
            <w:left w:val="none" w:sz="0" w:space="0" w:color="auto"/>
            <w:bottom w:val="none" w:sz="0" w:space="0" w:color="auto"/>
            <w:right w:val="none" w:sz="0" w:space="0" w:color="auto"/>
          </w:divBdr>
        </w:div>
        <w:div w:id="1450661271">
          <w:marLeft w:val="0"/>
          <w:marRight w:val="0"/>
          <w:marTop w:val="0"/>
          <w:marBottom w:val="0"/>
          <w:divBdr>
            <w:top w:val="none" w:sz="0" w:space="0" w:color="auto"/>
            <w:left w:val="none" w:sz="0" w:space="0" w:color="auto"/>
            <w:bottom w:val="none" w:sz="0" w:space="0" w:color="auto"/>
            <w:right w:val="none" w:sz="0" w:space="0" w:color="auto"/>
          </w:divBdr>
        </w:div>
        <w:div w:id="1068309758">
          <w:marLeft w:val="0"/>
          <w:marRight w:val="0"/>
          <w:marTop w:val="0"/>
          <w:marBottom w:val="0"/>
          <w:divBdr>
            <w:top w:val="none" w:sz="0" w:space="0" w:color="auto"/>
            <w:left w:val="none" w:sz="0" w:space="0" w:color="auto"/>
            <w:bottom w:val="none" w:sz="0" w:space="0" w:color="auto"/>
            <w:right w:val="none" w:sz="0" w:space="0" w:color="auto"/>
          </w:divBdr>
          <w:divsChild>
            <w:div w:id="276261563">
              <w:marLeft w:val="0"/>
              <w:marRight w:val="0"/>
              <w:marTop w:val="0"/>
              <w:marBottom w:val="0"/>
              <w:divBdr>
                <w:top w:val="none" w:sz="0" w:space="0" w:color="auto"/>
                <w:left w:val="none" w:sz="0" w:space="0" w:color="auto"/>
                <w:bottom w:val="none" w:sz="0" w:space="0" w:color="auto"/>
                <w:right w:val="none" w:sz="0" w:space="0" w:color="auto"/>
              </w:divBdr>
            </w:div>
          </w:divsChild>
        </w:div>
        <w:div w:id="1094083964">
          <w:marLeft w:val="0"/>
          <w:marRight w:val="0"/>
          <w:marTop w:val="0"/>
          <w:marBottom w:val="0"/>
          <w:divBdr>
            <w:top w:val="none" w:sz="0" w:space="0" w:color="auto"/>
            <w:left w:val="none" w:sz="0" w:space="0" w:color="auto"/>
            <w:bottom w:val="none" w:sz="0" w:space="0" w:color="auto"/>
            <w:right w:val="none" w:sz="0" w:space="0" w:color="auto"/>
          </w:divBdr>
        </w:div>
        <w:div w:id="2105686478">
          <w:marLeft w:val="0"/>
          <w:marRight w:val="0"/>
          <w:marTop w:val="0"/>
          <w:marBottom w:val="0"/>
          <w:divBdr>
            <w:top w:val="none" w:sz="0" w:space="0" w:color="auto"/>
            <w:left w:val="none" w:sz="0" w:space="0" w:color="auto"/>
            <w:bottom w:val="none" w:sz="0" w:space="0" w:color="auto"/>
            <w:right w:val="none" w:sz="0" w:space="0" w:color="auto"/>
          </w:divBdr>
        </w:div>
        <w:div w:id="668024099">
          <w:marLeft w:val="0"/>
          <w:marRight w:val="0"/>
          <w:marTop w:val="0"/>
          <w:marBottom w:val="0"/>
          <w:divBdr>
            <w:top w:val="none" w:sz="0" w:space="0" w:color="auto"/>
            <w:left w:val="none" w:sz="0" w:space="0" w:color="auto"/>
            <w:bottom w:val="none" w:sz="0" w:space="0" w:color="auto"/>
            <w:right w:val="none" w:sz="0" w:space="0" w:color="auto"/>
          </w:divBdr>
        </w:div>
        <w:div w:id="455564396">
          <w:marLeft w:val="0"/>
          <w:marRight w:val="0"/>
          <w:marTop w:val="0"/>
          <w:marBottom w:val="0"/>
          <w:divBdr>
            <w:top w:val="none" w:sz="0" w:space="0" w:color="auto"/>
            <w:left w:val="none" w:sz="0" w:space="0" w:color="auto"/>
            <w:bottom w:val="none" w:sz="0" w:space="0" w:color="auto"/>
            <w:right w:val="none" w:sz="0" w:space="0" w:color="auto"/>
          </w:divBdr>
          <w:divsChild>
            <w:div w:id="1867251833">
              <w:marLeft w:val="0"/>
              <w:marRight w:val="0"/>
              <w:marTop w:val="0"/>
              <w:marBottom w:val="0"/>
              <w:divBdr>
                <w:top w:val="none" w:sz="0" w:space="0" w:color="auto"/>
                <w:left w:val="none" w:sz="0" w:space="0" w:color="auto"/>
                <w:bottom w:val="none" w:sz="0" w:space="0" w:color="auto"/>
                <w:right w:val="none" w:sz="0" w:space="0" w:color="auto"/>
              </w:divBdr>
            </w:div>
          </w:divsChild>
        </w:div>
        <w:div w:id="1319577121">
          <w:marLeft w:val="0"/>
          <w:marRight w:val="0"/>
          <w:marTop w:val="0"/>
          <w:marBottom w:val="0"/>
          <w:divBdr>
            <w:top w:val="none" w:sz="0" w:space="0" w:color="auto"/>
            <w:left w:val="none" w:sz="0" w:space="0" w:color="auto"/>
            <w:bottom w:val="none" w:sz="0" w:space="0" w:color="auto"/>
            <w:right w:val="none" w:sz="0" w:space="0" w:color="auto"/>
          </w:divBdr>
        </w:div>
        <w:div w:id="1417094039">
          <w:marLeft w:val="0"/>
          <w:marRight w:val="0"/>
          <w:marTop w:val="0"/>
          <w:marBottom w:val="0"/>
          <w:divBdr>
            <w:top w:val="none" w:sz="0" w:space="0" w:color="auto"/>
            <w:left w:val="none" w:sz="0" w:space="0" w:color="auto"/>
            <w:bottom w:val="none" w:sz="0" w:space="0" w:color="auto"/>
            <w:right w:val="none" w:sz="0" w:space="0" w:color="auto"/>
          </w:divBdr>
        </w:div>
        <w:div w:id="1499535915">
          <w:marLeft w:val="0"/>
          <w:marRight w:val="0"/>
          <w:marTop w:val="0"/>
          <w:marBottom w:val="0"/>
          <w:divBdr>
            <w:top w:val="none" w:sz="0" w:space="0" w:color="auto"/>
            <w:left w:val="none" w:sz="0" w:space="0" w:color="auto"/>
            <w:bottom w:val="none" w:sz="0" w:space="0" w:color="auto"/>
            <w:right w:val="none" w:sz="0" w:space="0" w:color="auto"/>
          </w:divBdr>
        </w:div>
        <w:div w:id="1650866647">
          <w:marLeft w:val="0"/>
          <w:marRight w:val="0"/>
          <w:marTop w:val="0"/>
          <w:marBottom w:val="0"/>
          <w:divBdr>
            <w:top w:val="none" w:sz="0" w:space="0" w:color="auto"/>
            <w:left w:val="none" w:sz="0" w:space="0" w:color="auto"/>
            <w:bottom w:val="none" w:sz="0" w:space="0" w:color="auto"/>
            <w:right w:val="none" w:sz="0" w:space="0" w:color="auto"/>
          </w:divBdr>
        </w:div>
        <w:div w:id="252322090">
          <w:marLeft w:val="0"/>
          <w:marRight w:val="0"/>
          <w:marTop w:val="0"/>
          <w:marBottom w:val="0"/>
          <w:divBdr>
            <w:top w:val="none" w:sz="0" w:space="0" w:color="auto"/>
            <w:left w:val="none" w:sz="0" w:space="0" w:color="auto"/>
            <w:bottom w:val="none" w:sz="0" w:space="0" w:color="auto"/>
            <w:right w:val="none" w:sz="0" w:space="0" w:color="auto"/>
          </w:divBdr>
        </w:div>
        <w:div w:id="1526213106">
          <w:marLeft w:val="0"/>
          <w:marRight w:val="0"/>
          <w:marTop w:val="0"/>
          <w:marBottom w:val="0"/>
          <w:divBdr>
            <w:top w:val="none" w:sz="0" w:space="0" w:color="auto"/>
            <w:left w:val="none" w:sz="0" w:space="0" w:color="auto"/>
            <w:bottom w:val="none" w:sz="0" w:space="0" w:color="auto"/>
            <w:right w:val="none" w:sz="0" w:space="0" w:color="auto"/>
          </w:divBdr>
        </w:div>
        <w:div w:id="1350835547">
          <w:marLeft w:val="0"/>
          <w:marRight w:val="0"/>
          <w:marTop w:val="0"/>
          <w:marBottom w:val="0"/>
          <w:divBdr>
            <w:top w:val="none" w:sz="0" w:space="0" w:color="auto"/>
            <w:left w:val="none" w:sz="0" w:space="0" w:color="auto"/>
            <w:bottom w:val="none" w:sz="0" w:space="0" w:color="auto"/>
            <w:right w:val="none" w:sz="0" w:space="0" w:color="auto"/>
          </w:divBdr>
        </w:div>
        <w:div w:id="1086461217">
          <w:marLeft w:val="0"/>
          <w:marRight w:val="0"/>
          <w:marTop w:val="0"/>
          <w:marBottom w:val="0"/>
          <w:divBdr>
            <w:top w:val="none" w:sz="0" w:space="0" w:color="auto"/>
            <w:left w:val="none" w:sz="0" w:space="0" w:color="auto"/>
            <w:bottom w:val="none" w:sz="0" w:space="0" w:color="auto"/>
            <w:right w:val="none" w:sz="0" w:space="0" w:color="auto"/>
          </w:divBdr>
        </w:div>
        <w:div w:id="643392401">
          <w:marLeft w:val="0"/>
          <w:marRight w:val="0"/>
          <w:marTop w:val="0"/>
          <w:marBottom w:val="0"/>
          <w:divBdr>
            <w:top w:val="none" w:sz="0" w:space="0" w:color="auto"/>
            <w:left w:val="none" w:sz="0" w:space="0" w:color="auto"/>
            <w:bottom w:val="none" w:sz="0" w:space="0" w:color="auto"/>
            <w:right w:val="none" w:sz="0" w:space="0" w:color="auto"/>
          </w:divBdr>
        </w:div>
        <w:div w:id="1750347112">
          <w:marLeft w:val="0"/>
          <w:marRight w:val="0"/>
          <w:marTop w:val="0"/>
          <w:marBottom w:val="0"/>
          <w:divBdr>
            <w:top w:val="none" w:sz="0" w:space="0" w:color="auto"/>
            <w:left w:val="none" w:sz="0" w:space="0" w:color="auto"/>
            <w:bottom w:val="none" w:sz="0" w:space="0" w:color="auto"/>
            <w:right w:val="none" w:sz="0" w:space="0" w:color="auto"/>
          </w:divBdr>
        </w:div>
        <w:div w:id="1924758371">
          <w:marLeft w:val="0"/>
          <w:marRight w:val="0"/>
          <w:marTop w:val="0"/>
          <w:marBottom w:val="0"/>
          <w:divBdr>
            <w:top w:val="none" w:sz="0" w:space="0" w:color="auto"/>
            <w:left w:val="none" w:sz="0" w:space="0" w:color="auto"/>
            <w:bottom w:val="none" w:sz="0" w:space="0" w:color="auto"/>
            <w:right w:val="none" w:sz="0" w:space="0" w:color="auto"/>
          </w:divBdr>
        </w:div>
        <w:div w:id="923802747">
          <w:marLeft w:val="0"/>
          <w:marRight w:val="0"/>
          <w:marTop w:val="0"/>
          <w:marBottom w:val="0"/>
          <w:divBdr>
            <w:top w:val="none" w:sz="0" w:space="0" w:color="auto"/>
            <w:left w:val="none" w:sz="0" w:space="0" w:color="auto"/>
            <w:bottom w:val="none" w:sz="0" w:space="0" w:color="auto"/>
            <w:right w:val="none" w:sz="0" w:space="0" w:color="auto"/>
          </w:divBdr>
        </w:div>
        <w:div w:id="433866468">
          <w:marLeft w:val="0"/>
          <w:marRight w:val="0"/>
          <w:marTop w:val="0"/>
          <w:marBottom w:val="0"/>
          <w:divBdr>
            <w:top w:val="none" w:sz="0" w:space="0" w:color="auto"/>
            <w:left w:val="none" w:sz="0" w:space="0" w:color="auto"/>
            <w:bottom w:val="none" w:sz="0" w:space="0" w:color="auto"/>
            <w:right w:val="none" w:sz="0" w:space="0" w:color="auto"/>
          </w:divBdr>
        </w:div>
        <w:div w:id="1223907814">
          <w:marLeft w:val="0"/>
          <w:marRight w:val="0"/>
          <w:marTop w:val="0"/>
          <w:marBottom w:val="0"/>
          <w:divBdr>
            <w:top w:val="none" w:sz="0" w:space="0" w:color="auto"/>
            <w:left w:val="none" w:sz="0" w:space="0" w:color="auto"/>
            <w:bottom w:val="none" w:sz="0" w:space="0" w:color="auto"/>
            <w:right w:val="none" w:sz="0" w:space="0" w:color="auto"/>
          </w:divBdr>
        </w:div>
        <w:div w:id="1714889526">
          <w:marLeft w:val="0"/>
          <w:marRight w:val="0"/>
          <w:marTop w:val="0"/>
          <w:marBottom w:val="0"/>
          <w:divBdr>
            <w:top w:val="none" w:sz="0" w:space="0" w:color="auto"/>
            <w:left w:val="none" w:sz="0" w:space="0" w:color="auto"/>
            <w:bottom w:val="none" w:sz="0" w:space="0" w:color="auto"/>
            <w:right w:val="none" w:sz="0" w:space="0" w:color="auto"/>
          </w:divBdr>
        </w:div>
        <w:div w:id="1441143959">
          <w:marLeft w:val="0"/>
          <w:marRight w:val="0"/>
          <w:marTop w:val="0"/>
          <w:marBottom w:val="0"/>
          <w:divBdr>
            <w:top w:val="none" w:sz="0" w:space="0" w:color="auto"/>
            <w:left w:val="none" w:sz="0" w:space="0" w:color="auto"/>
            <w:bottom w:val="none" w:sz="0" w:space="0" w:color="auto"/>
            <w:right w:val="none" w:sz="0" w:space="0" w:color="auto"/>
          </w:divBdr>
        </w:div>
        <w:div w:id="1682857469">
          <w:marLeft w:val="0"/>
          <w:marRight w:val="0"/>
          <w:marTop w:val="0"/>
          <w:marBottom w:val="0"/>
          <w:divBdr>
            <w:top w:val="none" w:sz="0" w:space="0" w:color="auto"/>
            <w:left w:val="none" w:sz="0" w:space="0" w:color="auto"/>
            <w:bottom w:val="none" w:sz="0" w:space="0" w:color="auto"/>
            <w:right w:val="none" w:sz="0" w:space="0" w:color="auto"/>
          </w:divBdr>
        </w:div>
        <w:div w:id="1172182073">
          <w:marLeft w:val="0"/>
          <w:marRight w:val="0"/>
          <w:marTop w:val="0"/>
          <w:marBottom w:val="0"/>
          <w:divBdr>
            <w:top w:val="none" w:sz="0" w:space="0" w:color="auto"/>
            <w:left w:val="none" w:sz="0" w:space="0" w:color="auto"/>
            <w:bottom w:val="none" w:sz="0" w:space="0" w:color="auto"/>
            <w:right w:val="none" w:sz="0" w:space="0" w:color="auto"/>
          </w:divBdr>
        </w:div>
        <w:div w:id="1550266490">
          <w:marLeft w:val="0"/>
          <w:marRight w:val="0"/>
          <w:marTop w:val="0"/>
          <w:marBottom w:val="0"/>
          <w:divBdr>
            <w:top w:val="none" w:sz="0" w:space="0" w:color="auto"/>
            <w:left w:val="none" w:sz="0" w:space="0" w:color="auto"/>
            <w:bottom w:val="none" w:sz="0" w:space="0" w:color="auto"/>
            <w:right w:val="none" w:sz="0" w:space="0" w:color="auto"/>
          </w:divBdr>
        </w:div>
        <w:div w:id="1595628517">
          <w:marLeft w:val="0"/>
          <w:marRight w:val="0"/>
          <w:marTop w:val="0"/>
          <w:marBottom w:val="0"/>
          <w:divBdr>
            <w:top w:val="none" w:sz="0" w:space="0" w:color="auto"/>
            <w:left w:val="none" w:sz="0" w:space="0" w:color="auto"/>
            <w:bottom w:val="none" w:sz="0" w:space="0" w:color="auto"/>
            <w:right w:val="none" w:sz="0" w:space="0" w:color="auto"/>
          </w:divBdr>
        </w:div>
        <w:div w:id="143356915">
          <w:marLeft w:val="0"/>
          <w:marRight w:val="0"/>
          <w:marTop w:val="0"/>
          <w:marBottom w:val="0"/>
          <w:divBdr>
            <w:top w:val="none" w:sz="0" w:space="0" w:color="auto"/>
            <w:left w:val="none" w:sz="0" w:space="0" w:color="auto"/>
            <w:bottom w:val="none" w:sz="0" w:space="0" w:color="auto"/>
            <w:right w:val="none" w:sz="0" w:space="0" w:color="auto"/>
          </w:divBdr>
        </w:div>
        <w:div w:id="1245796150">
          <w:marLeft w:val="0"/>
          <w:marRight w:val="0"/>
          <w:marTop w:val="0"/>
          <w:marBottom w:val="0"/>
          <w:divBdr>
            <w:top w:val="none" w:sz="0" w:space="0" w:color="auto"/>
            <w:left w:val="none" w:sz="0" w:space="0" w:color="auto"/>
            <w:bottom w:val="none" w:sz="0" w:space="0" w:color="auto"/>
            <w:right w:val="none" w:sz="0" w:space="0" w:color="auto"/>
          </w:divBdr>
        </w:div>
        <w:div w:id="14362469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2668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Gonzalez</dc:creator>
  <cp:lastModifiedBy>Lidia</cp:lastModifiedBy>
  <cp:revision>2</cp:revision>
  <dcterms:created xsi:type="dcterms:W3CDTF">2017-06-04T12:45:00Z</dcterms:created>
  <dcterms:modified xsi:type="dcterms:W3CDTF">2017-06-04T12:45:00Z</dcterms:modified>
</cp:coreProperties>
</file>